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5E58A5" w:rsidRPr="005E58A5" w:rsidTr="005E58A5">
        <w:trPr>
          <w:trHeight w:val="1050"/>
          <w:tblCellSpacing w:w="0" w:type="dxa"/>
          <w:jc w:val="center"/>
        </w:trPr>
        <w:tc>
          <w:tcPr>
            <w:tcW w:w="0" w:type="auto"/>
            <w:vAlign w:val="center"/>
            <w:hideMark/>
          </w:tcPr>
          <w:p w:rsidR="005E58A5" w:rsidRPr="005E58A5" w:rsidRDefault="005E58A5" w:rsidP="005E58A5">
            <w:pPr>
              <w:widowControl/>
              <w:spacing w:line="1050" w:lineRule="atLeast"/>
              <w:jc w:val="center"/>
              <w:rPr>
                <w:rFonts w:ascii="宋体" w:eastAsia="宋体" w:hAnsi="宋体" w:cs="宋体"/>
                <w:b/>
                <w:bCs/>
                <w:color w:val="CC0000"/>
                <w:kern w:val="0"/>
                <w:sz w:val="45"/>
                <w:szCs w:val="45"/>
              </w:rPr>
            </w:pPr>
            <w:r w:rsidRPr="005E58A5">
              <w:rPr>
                <w:rFonts w:ascii="宋体" w:eastAsia="宋体" w:hAnsi="宋体" w:cs="宋体" w:hint="eastAsia"/>
                <w:b/>
                <w:bCs/>
                <w:color w:val="CC0000"/>
                <w:kern w:val="0"/>
                <w:sz w:val="45"/>
                <w:szCs w:val="45"/>
              </w:rPr>
              <w:t xml:space="preserve">河南省财政厅 河南省科学技术厅 河南省教育厅 河南省发展和改革委员会关于进一步做好省级财政科研项目资金管理等政策贯彻落实工作的通知 </w:t>
            </w:r>
          </w:p>
        </w:tc>
      </w:tr>
      <w:tr w:rsidR="005E58A5" w:rsidRPr="005E58A5" w:rsidTr="005E58A5">
        <w:trPr>
          <w:trHeight w:val="15"/>
          <w:tblCellSpacing w:w="0" w:type="dxa"/>
          <w:jc w:val="center"/>
        </w:trPr>
        <w:tc>
          <w:tcPr>
            <w:tcW w:w="0" w:type="auto"/>
            <w:shd w:val="clear" w:color="auto" w:fill="CC0000"/>
            <w:vAlign w:val="center"/>
            <w:hideMark/>
          </w:tcPr>
          <w:p w:rsidR="005E58A5" w:rsidRPr="005E58A5" w:rsidRDefault="005E58A5" w:rsidP="005E58A5">
            <w:pPr>
              <w:widowControl/>
              <w:spacing w:line="240" w:lineRule="atLeast"/>
              <w:jc w:val="left"/>
              <w:rPr>
                <w:rFonts w:ascii="宋体" w:eastAsia="宋体" w:hAnsi="宋体" w:cs="宋体"/>
                <w:color w:val="333333"/>
                <w:kern w:val="0"/>
                <w:sz w:val="2"/>
                <w:szCs w:val="18"/>
              </w:rPr>
            </w:pPr>
          </w:p>
        </w:tc>
      </w:tr>
    </w:tbl>
    <w:p w:rsidR="005E58A5" w:rsidRPr="005E58A5" w:rsidRDefault="005E58A5" w:rsidP="005E58A5">
      <w:pPr>
        <w:widowControl/>
        <w:spacing w:line="360" w:lineRule="auto"/>
        <w:jc w:val="left"/>
        <w:rPr>
          <w:rFonts w:ascii="宋体" w:eastAsia="宋体" w:hAnsi="宋体" w:cs="宋体"/>
          <w:vanish/>
          <w:color w:val="333333"/>
          <w:kern w:val="0"/>
          <w:sz w:val="18"/>
          <w:szCs w:val="18"/>
        </w:rPr>
      </w:pPr>
    </w:p>
    <w:tbl>
      <w:tblPr>
        <w:tblW w:w="4500" w:type="pct"/>
        <w:jc w:val="center"/>
        <w:tblCellSpacing w:w="0" w:type="dxa"/>
        <w:tblCellMar>
          <w:left w:w="0" w:type="dxa"/>
          <w:right w:w="0" w:type="dxa"/>
        </w:tblCellMar>
        <w:tblLook w:val="04A0"/>
      </w:tblPr>
      <w:tblGrid>
        <w:gridCol w:w="8306"/>
      </w:tblGrid>
      <w:tr w:rsidR="005E58A5" w:rsidRPr="005E58A5" w:rsidTr="005E58A5">
        <w:trPr>
          <w:tblCellSpacing w:w="0" w:type="dxa"/>
          <w:jc w:val="center"/>
        </w:trPr>
        <w:tc>
          <w:tcPr>
            <w:tcW w:w="0" w:type="auto"/>
            <w:vAlign w:val="center"/>
            <w:hideMark/>
          </w:tcPr>
          <w:p w:rsidR="005E58A5" w:rsidRPr="005E58A5" w:rsidRDefault="005E58A5" w:rsidP="005E58A5">
            <w:pPr>
              <w:widowControl/>
              <w:spacing w:line="240" w:lineRule="atLeast"/>
              <w:jc w:val="center"/>
              <w:rPr>
                <w:rFonts w:ascii="宋体" w:eastAsia="宋体" w:hAnsi="宋体" w:cs="宋体"/>
                <w:color w:val="333333"/>
                <w:kern w:val="0"/>
                <w:sz w:val="18"/>
                <w:szCs w:val="18"/>
              </w:rPr>
            </w:pPr>
          </w:p>
        </w:tc>
      </w:tr>
      <w:tr w:rsidR="005E58A5" w:rsidRPr="005E58A5" w:rsidTr="005E58A5">
        <w:trPr>
          <w:tblCellSpacing w:w="0" w:type="dxa"/>
          <w:jc w:val="center"/>
        </w:trPr>
        <w:tc>
          <w:tcPr>
            <w:tcW w:w="0" w:type="auto"/>
            <w:vAlign w:val="center"/>
            <w:hideMark/>
          </w:tcPr>
          <w:p w:rsidR="005E58A5" w:rsidRPr="005E58A5" w:rsidRDefault="005E58A5" w:rsidP="005E58A5">
            <w:pPr>
              <w:widowControl/>
              <w:spacing w:before="100" w:beforeAutospacing="1" w:after="100" w:afterAutospacing="1" w:line="480" w:lineRule="atLeast"/>
              <w:jc w:val="center"/>
              <w:rPr>
                <w:rFonts w:ascii="宋体" w:eastAsia="宋体" w:hAnsi="宋体" w:cs="宋体" w:hint="eastAsia"/>
                <w:color w:val="333333"/>
                <w:kern w:val="0"/>
                <w:sz w:val="24"/>
                <w:szCs w:val="24"/>
              </w:rPr>
            </w:pPr>
            <w:r w:rsidRPr="005E58A5">
              <w:rPr>
                <w:rFonts w:ascii="楷体_GB2312" w:eastAsia="楷体_GB2312" w:hAnsi="宋体" w:cs="宋体" w:hint="eastAsia"/>
                <w:color w:val="333333"/>
                <w:kern w:val="0"/>
                <w:sz w:val="32"/>
                <w:szCs w:val="32"/>
              </w:rPr>
              <w:t>豫财科〔2017〕61号</w:t>
            </w:r>
          </w:p>
          <w:p w:rsidR="005E58A5" w:rsidRPr="005E58A5" w:rsidRDefault="005E58A5" w:rsidP="005E58A5">
            <w:pPr>
              <w:widowControl/>
              <w:spacing w:before="100" w:beforeAutospacing="1" w:after="100" w:afterAutospacing="1" w:line="480" w:lineRule="atLeast"/>
              <w:jc w:val="left"/>
              <w:rPr>
                <w:rFonts w:ascii="宋体" w:eastAsia="宋体" w:hAnsi="宋体" w:cs="宋体" w:hint="eastAsia"/>
                <w:color w:val="333333"/>
                <w:kern w:val="0"/>
                <w:sz w:val="24"/>
                <w:szCs w:val="24"/>
              </w:rPr>
            </w:pPr>
            <w:r w:rsidRPr="005E58A5">
              <w:rPr>
                <w:rFonts w:ascii="仿宋_GB2312" w:eastAsia="仿宋_GB2312" w:hAnsi="宋体" w:cs="宋体" w:hint="eastAsia"/>
                <w:color w:val="333333"/>
                <w:kern w:val="0"/>
                <w:sz w:val="32"/>
                <w:szCs w:val="32"/>
              </w:rPr>
              <w:t>省直有关单位，省属高校、科研院所：</w:t>
            </w:r>
            <w:r w:rsidRPr="005E58A5">
              <w:rPr>
                <w:rFonts w:ascii="仿宋_GB2312" w:eastAsia="仿宋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w:t>
            </w:r>
            <w:r w:rsidRPr="005E58A5">
              <w:rPr>
                <w:rFonts w:ascii="仿宋_GB2312" w:eastAsia="仿宋_GB2312" w:hAnsi="宋体" w:cs="宋体" w:hint="eastAsia"/>
                <w:color w:val="333333"/>
                <w:kern w:val="0"/>
                <w:sz w:val="32"/>
                <w:szCs w:val="32"/>
              </w:rPr>
              <w:t>为了进一步做好《中共河南省委办公厅 河南省人民政府办公厅关于进一步完善省级财政科研项目资金管理等政策的若干意见》(豫办〔2017〕7号，以下简称《若干意见》)贯彻落实工作，促进省级财政科研项目资金管理改革举措落地生根，切实增强科研人员改革“成就感”“获得感”，调动其创新创业的积极性，现就有关问题通知如下：</w:t>
            </w:r>
            <w:r w:rsidRPr="005E58A5">
              <w:rPr>
                <w:rFonts w:ascii="仿宋_GB2312" w:eastAsia="仿宋_GB2312" w:hAnsi="宋体" w:cs="宋体" w:hint="eastAsia"/>
                <w:color w:val="333333"/>
                <w:kern w:val="0"/>
                <w:sz w:val="32"/>
                <w:szCs w:val="32"/>
              </w:rPr>
              <w:br/>
              <w:t xml:space="preserve">　　</w:t>
            </w:r>
            <w:r w:rsidRPr="005E58A5">
              <w:rPr>
                <w:rFonts w:ascii="黑体" w:eastAsia="黑体" w:hAnsi="黑体" w:cs="宋体" w:hint="eastAsia"/>
                <w:color w:val="333333"/>
                <w:kern w:val="0"/>
                <w:sz w:val="32"/>
                <w:szCs w:val="32"/>
              </w:rPr>
              <w:t>一、提高思想认识，强化责任担当</w:t>
            </w:r>
            <w:r w:rsidRPr="005E58A5">
              <w:rPr>
                <w:rFonts w:ascii="黑体" w:eastAsia="黑体" w:hAnsi="黑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w:t>
            </w:r>
            <w:r w:rsidRPr="005E58A5">
              <w:rPr>
                <w:rFonts w:ascii="仿宋_GB2312" w:eastAsia="仿宋_GB2312" w:hAnsi="宋体" w:cs="宋体" w:hint="eastAsia"/>
                <w:color w:val="333333"/>
                <w:kern w:val="0"/>
                <w:sz w:val="32"/>
                <w:szCs w:val="32"/>
              </w:rPr>
              <w:lastRenderedPageBreak/>
              <w:t>强统筹协调，督促和指导所属单位落实好相关政策。省属高校、科研院所等相关单位要切实履行法人责任，加快制度建设，完善内控机制，规范工作流程，创新服务方式，确保下放的管理权限“接得住、管得好”。</w:t>
            </w:r>
            <w:r w:rsidRPr="005E58A5">
              <w:rPr>
                <w:rFonts w:ascii="仿宋_GB2312" w:eastAsia="仿宋_GB2312" w:hAnsi="宋体" w:cs="宋体" w:hint="eastAsia"/>
                <w:color w:val="333333"/>
                <w:kern w:val="0"/>
                <w:sz w:val="32"/>
                <w:szCs w:val="32"/>
              </w:rPr>
              <w:br/>
              <w:t xml:space="preserve">　　</w:t>
            </w:r>
            <w:r w:rsidRPr="005E58A5">
              <w:rPr>
                <w:rFonts w:ascii="黑体" w:eastAsia="黑体" w:hAnsi="黑体" w:cs="宋体" w:hint="eastAsia"/>
                <w:color w:val="333333"/>
                <w:kern w:val="0"/>
                <w:sz w:val="32"/>
                <w:szCs w:val="32"/>
              </w:rPr>
              <w:t>二、细化政策措施，狠抓政策执行</w:t>
            </w:r>
            <w:r w:rsidRPr="005E58A5">
              <w:rPr>
                <w:rFonts w:ascii="黑体" w:eastAsia="黑体" w:hAnsi="黑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w:t>
            </w:r>
            <w:r w:rsidRPr="005E58A5">
              <w:rPr>
                <w:rFonts w:ascii="楷体_GB2312" w:eastAsia="楷体_GB2312" w:hAnsi="宋体" w:cs="宋体" w:hint="eastAsia"/>
                <w:color w:val="333333"/>
                <w:kern w:val="0"/>
                <w:sz w:val="32"/>
                <w:szCs w:val="32"/>
              </w:rPr>
              <w:t>（一）加快制度建设</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项目承担单位应当结合本单位实际，抓紧制定和完善差旅费、会议费、出国经费等内部管理办法和报销规定，明确享受差旅费、会议费和因公临时出国经费特殊待遇的教学科研人员范围和界定办法；制订项目预算调剂、间接费用管理使用、劳务费分配管理、结余资金使用、科研财务助理岗位设立、内部信息公开公示等内部管理制度。上述办法应于6月底前完成。</w:t>
            </w:r>
            <w:r w:rsidRPr="005E58A5">
              <w:rPr>
                <w:rFonts w:ascii="仿宋_GB2312" w:eastAsia="仿宋_GB2312" w:hAnsi="宋体" w:cs="宋体" w:hint="eastAsia"/>
                <w:color w:val="333333"/>
                <w:kern w:val="0"/>
                <w:sz w:val="32"/>
                <w:szCs w:val="32"/>
              </w:rPr>
              <w:t> </w:t>
            </w:r>
            <w:r w:rsidRPr="005E58A5">
              <w:rPr>
                <w:rFonts w:ascii="仿宋_GB2312" w:eastAsia="仿宋_GB2312" w:hAnsi="宋体" w:cs="宋体" w:hint="eastAsia"/>
                <w:color w:val="333333"/>
                <w:kern w:val="0"/>
                <w:sz w:val="32"/>
                <w:szCs w:val="32"/>
              </w:rPr>
              <w:b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省属高校、科研院所按规定制定的差旅会议内部管理办法，应当作为预算编制、评估评审、经费管理、审计检查、财务验收等工作依据。</w:t>
            </w:r>
            <w:r w:rsidRPr="005E58A5">
              <w:rPr>
                <w:rFonts w:ascii="仿宋_GB2312" w:eastAsia="仿宋_GB2312" w:hAnsi="宋体" w:cs="宋体" w:hint="eastAsia"/>
                <w:color w:val="333333"/>
                <w:kern w:val="0"/>
                <w:sz w:val="32"/>
                <w:szCs w:val="32"/>
              </w:rPr>
              <w:t> </w:t>
            </w:r>
            <w:r w:rsidRPr="005E58A5">
              <w:rPr>
                <w:rFonts w:ascii="仿宋_GB2312" w:eastAsia="仿宋_GB2312" w:hAnsi="宋体" w:cs="宋体" w:hint="eastAsia"/>
                <w:color w:val="333333"/>
                <w:kern w:val="0"/>
                <w:sz w:val="32"/>
                <w:szCs w:val="32"/>
              </w:rPr>
              <w:br/>
              <w:t xml:space="preserve">　　项目主管部门应当尽快完善预算编制指南，制定预算评估评审和财务验收工作细则等具体操作规范。</w:t>
            </w:r>
            <w:r w:rsidRPr="005E58A5">
              <w:rPr>
                <w:rFonts w:ascii="仿宋_GB2312" w:eastAsia="仿宋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lastRenderedPageBreak/>
              <w:t xml:space="preserve">　　</w:t>
            </w:r>
            <w:r w:rsidRPr="005E58A5">
              <w:rPr>
                <w:rFonts w:ascii="楷体_GB2312" w:eastAsia="楷体_GB2312" w:hAnsi="宋体" w:cs="宋体" w:hint="eastAsia"/>
                <w:color w:val="333333"/>
                <w:kern w:val="0"/>
                <w:sz w:val="32"/>
                <w:szCs w:val="32"/>
              </w:rPr>
              <w:t>（二）大力推进信息公开</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r w:rsidRPr="005E58A5">
              <w:rPr>
                <w:rFonts w:ascii="仿宋_GB2312" w:eastAsia="仿宋_GB2312" w:hAnsi="宋体" w:cs="宋体" w:hint="eastAsia"/>
                <w:color w:val="333333"/>
                <w:kern w:val="0"/>
                <w:sz w:val="32"/>
                <w:szCs w:val="32"/>
              </w:rPr>
              <w:br/>
              <w:t xml:space="preserve">　　</w:t>
            </w:r>
            <w:r w:rsidRPr="005E58A5">
              <w:rPr>
                <w:rFonts w:ascii="楷体_GB2312" w:eastAsia="楷体_GB2312" w:hAnsi="宋体" w:cs="宋体" w:hint="eastAsia"/>
                <w:color w:val="333333"/>
                <w:kern w:val="0"/>
                <w:sz w:val="32"/>
                <w:szCs w:val="32"/>
              </w:rPr>
              <w:t>（三）细化、完善劳务费和间接费用管理</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r w:rsidRPr="005E58A5">
              <w:rPr>
                <w:rFonts w:ascii="仿宋_GB2312" w:eastAsia="仿宋_GB2312" w:hAnsi="宋体" w:cs="宋体" w:hint="eastAsia"/>
                <w:color w:val="333333"/>
                <w:kern w:val="0"/>
                <w:sz w:val="32"/>
                <w:szCs w:val="32"/>
              </w:rPr>
              <w:b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省重大科技专项、科技研发专项、省教育厅重点科研计划等省科研项目经费中列支的绩效支出，计入当年单位工资总额，但不纳入核定的单位绩效工资总额基数内。郑州大学、河南工业</w:t>
            </w:r>
            <w:r w:rsidRPr="005E58A5">
              <w:rPr>
                <w:rFonts w:ascii="仿宋_GB2312" w:eastAsia="仿宋_GB2312" w:hAnsi="宋体" w:cs="宋体" w:hint="eastAsia"/>
                <w:color w:val="333333"/>
                <w:kern w:val="0"/>
                <w:sz w:val="32"/>
                <w:szCs w:val="32"/>
              </w:rPr>
              <w:lastRenderedPageBreak/>
              <w:t>大学、郑州轻工业学院作为国家自主创新示范区内试点单位，2017-2018年将承担上述科研经费绩效支出比例提高至不超过项目预算扣减设备费后的40%，软科学、软件开发类项目经费绩效支出比重最高可达60%。</w:t>
            </w:r>
            <w:r w:rsidRPr="005E58A5">
              <w:rPr>
                <w:rFonts w:ascii="仿宋_GB2312" w:eastAsia="仿宋_GB2312" w:hAnsi="宋体" w:cs="宋体" w:hint="eastAsia"/>
                <w:color w:val="333333"/>
                <w:kern w:val="0"/>
                <w:sz w:val="32"/>
                <w:szCs w:val="32"/>
              </w:rPr>
              <w:br/>
              <w:t xml:space="preserve">　　</w:t>
            </w:r>
            <w:r w:rsidRPr="005E58A5">
              <w:rPr>
                <w:rFonts w:ascii="楷体_GB2312" w:eastAsia="楷体_GB2312" w:hAnsi="宋体" w:cs="宋体" w:hint="eastAsia"/>
                <w:color w:val="333333"/>
                <w:kern w:val="0"/>
                <w:sz w:val="32"/>
                <w:szCs w:val="32"/>
              </w:rPr>
              <w:t>（四）加强结余资金统筹管理</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省财政将完善财政预算基础管理，严格界定科研项目范围，建立科研项目前期申报、预算编制、分配下达、资金支付等全链条资金管理机制，切实加强科研项目基础管理工作。对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通过验收的项目，结余资金按规定原渠道收回。</w:t>
            </w:r>
            <w:r w:rsidRPr="005E58A5">
              <w:rPr>
                <w:rFonts w:ascii="仿宋_GB2312" w:eastAsia="仿宋_GB2312" w:hAnsi="宋体" w:cs="宋体" w:hint="eastAsia"/>
                <w:color w:val="333333"/>
                <w:kern w:val="0"/>
                <w:sz w:val="32"/>
                <w:szCs w:val="32"/>
              </w:rPr>
              <w:t> </w:t>
            </w:r>
            <w:r w:rsidRPr="005E58A5">
              <w:rPr>
                <w:rFonts w:ascii="仿宋_GB2312" w:eastAsia="仿宋_GB2312" w:hAnsi="宋体" w:cs="宋体" w:hint="eastAsia"/>
                <w:color w:val="333333"/>
                <w:kern w:val="0"/>
                <w:sz w:val="32"/>
                <w:szCs w:val="32"/>
              </w:rPr>
              <w:br/>
              <w:t xml:space="preserve">　　项目承担单位应当认真落实结余资金使用管理权限，加强结余资金统筹管理，在内部管理办法中明确具体统筹方式和管理要求，提高科研项目资金使用效益，激发科研人员创新创造活力。</w:t>
            </w:r>
            <w:r w:rsidRPr="005E58A5">
              <w:rPr>
                <w:rFonts w:ascii="仿宋_GB2312" w:eastAsia="仿宋_GB2312" w:hAnsi="宋体" w:cs="宋体" w:hint="eastAsia"/>
                <w:color w:val="333333"/>
                <w:kern w:val="0"/>
                <w:sz w:val="32"/>
                <w:szCs w:val="32"/>
              </w:rPr>
              <w:br/>
              <w:t xml:space="preserve">　　</w:t>
            </w:r>
            <w:r w:rsidRPr="005E58A5">
              <w:rPr>
                <w:rFonts w:ascii="楷体_GB2312" w:eastAsia="楷体_GB2312" w:hAnsi="宋体" w:cs="宋体" w:hint="eastAsia"/>
                <w:color w:val="333333"/>
                <w:kern w:val="0"/>
                <w:sz w:val="32"/>
                <w:szCs w:val="32"/>
              </w:rPr>
              <w:t>（五）做好在研项目政策衔接</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若干意见》发布时，已进入结题验收环节的项目，继续按照原政策执行，不作调整；尚在执行环节的项目，由项目承担单位统筹考虑本单位实际情况，与科研人员特别是项目负责人充分协商后，在项目预算总额不变的前提下，自主</w:t>
            </w:r>
            <w:r w:rsidRPr="005E58A5">
              <w:rPr>
                <w:rFonts w:ascii="仿宋_GB2312" w:eastAsia="仿宋_GB2312" w:hAnsi="宋体" w:cs="宋体" w:hint="eastAsia"/>
                <w:color w:val="333333"/>
                <w:kern w:val="0"/>
                <w:sz w:val="32"/>
                <w:szCs w:val="32"/>
              </w:rPr>
              <w:lastRenderedPageBreak/>
              <w:t>决定是否执行新规定。</w:t>
            </w:r>
            <w:r w:rsidRPr="005E58A5">
              <w:rPr>
                <w:rFonts w:ascii="仿宋_GB2312" w:eastAsia="仿宋_GB2312" w:hAnsi="宋体" w:cs="宋体" w:hint="eastAsia"/>
                <w:color w:val="333333"/>
                <w:kern w:val="0"/>
                <w:sz w:val="32"/>
                <w:szCs w:val="32"/>
              </w:rPr>
              <w:br/>
              <w:t xml:space="preserve">　　</w:t>
            </w:r>
            <w:r w:rsidRPr="005E58A5">
              <w:rPr>
                <w:rFonts w:ascii="楷体_GB2312" w:eastAsia="楷体_GB2312" w:hAnsi="宋体" w:cs="宋体" w:hint="eastAsia"/>
                <w:color w:val="333333"/>
                <w:kern w:val="0"/>
                <w:sz w:val="32"/>
                <w:szCs w:val="32"/>
              </w:rPr>
              <w:t>（六）规范会计师事务所开展的财务审计</w:t>
            </w:r>
            <w:r w:rsidRPr="005E58A5">
              <w:rPr>
                <w:rFonts w:ascii="楷体_GB2312" w:eastAsia="楷体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项目主管部门制定财务验收工作细则，明确科研项目财务验收的责任主体、主要内容、程序规范等。加强对承接重大科研项目财务审计委托任务的会计师事务所的指导和培训，提高其政策理解和把握能力，促进提升财务审计工作质量。将科研项目财务审计纳入执业质量检查范围，按照有关要求，规范对承接科研项目财务审计委托任务的会计师事务所选聘程序，完善信用管理体系，会同财政部门对严重违规会计师事务所的严重不良信用记录记入“黑名单”。</w:t>
            </w:r>
            <w:r w:rsidRPr="005E58A5">
              <w:rPr>
                <w:rFonts w:ascii="仿宋_GB2312" w:eastAsia="仿宋_GB2312" w:hAnsi="宋体" w:cs="宋体" w:hint="eastAsia"/>
                <w:color w:val="333333"/>
                <w:kern w:val="0"/>
                <w:sz w:val="32"/>
                <w:szCs w:val="32"/>
              </w:rPr>
              <w:br/>
            </w:r>
            <w:r w:rsidRPr="005E58A5">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sidRPr="005E58A5">
              <w:rPr>
                <w:rFonts w:ascii="楷体_GB2312" w:eastAsia="楷体_GB2312" w:hAnsi="宋体" w:cs="宋体" w:hint="eastAsia"/>
                <w:color w:val="333333"/>
                <w:kern w:val="0"/>
                <w:sz w:val="32"/>
                <w:szCs w:val="32"/>
              </w:rPr>
              <w:t>（七）完善科研项目经费管理信息化平台</w:t>
            </w:r>
            <w:r w:rsidRPr="005E58A5">
              <w:rPr>
                <w:rFonts w:ascii="楷体_GB2312" w:eastAsia="楷体_GB2312" w:hAnsi="宋体" w:cs="宋体" w:hint="eastAsia"/>
                <w:color w:val="333333"/>
                <w:kern w:val="0"/>
                <w:sz w:val="32"/>
                <w:szCs w:val="32"/>
              </w:rPr>
              <w:br/>
            </w:r>
            <w:r>
              <w:rPr>
                <w:rFonts w:ascii="仿宋_GB2312" w:eastAsia="仿宋_GB2312" w:hAnsi="宋体" w:cs="宋体" w:hint="eastAsia"/>
                <w:color w:val="333333"/>
                <w:kern w:val="0"/>
                <w:sz w:val="32"/>
                <w:szCs w:val="32"/>
              </w:rPr>
              <w:t>  </w:t>
            </w:r>
            <w:r w:rsidRPr="005E58A5">
              <w:rPr>
                <w:rFonts w:ascii="仿宋_GB2312" w:eastAsia="仿宋_GB2312" w:hAnsi="宋体" w:cs="宋体" w:hint="eastAsia"/>
                <w:color w:val="333333"/>
                <w:kern w:val="0"/>
                <w:sz w:val="32"/>
                <w:szCs w:val="32"/>
              </w:rPr>
              <w:t>发挥省科研项目经费管理信息化平台作用，省属高校、科研院所制定的各项制度在公布前应在平台上进行备案。科研项目申报过程中按照有关程序完善项目预算；项目执行过程中应通过该平台实施预算调整等内容；项目结项后，科技报告和经费决算应在平台备案，建立全过程管理体系。</w:t>
            </w:r>
            <w:r w:rsidRPr="005E58A5">
              <w:rPr>
                <w:rFonts w:ascii="仿宋_GB2312" w:eastAsia="仿宋_GB2312" w:hAnsi="宋体" w:cs="宋体" w:hint="eastAsia"/>
                <w:color w:val="333333"/>
                <w:kern w:val="0"/>
                <w:sz w:val="32"/>
                <w:szCs w:val="32"/>
              </w:rPr>
              <w:br/>
              <w:t xml:space="preserve">　　</w:t>
            </w:r>
            <w:r w:rsidRPr="005E58A5">
              <w:rPr>
                <w:rFonts w:ascii="黑体" w:eastAsia="黑体" w:hAnsi="黑体" w:cs="宋体" w:hint="eastAsia"/>
                <w:color w:val="333333"/>
                <w:kern w:val="0"/>
                <w:sz w:val="32"/>
                <w:szCs w:val="32"/>
              </w:rPr>
              <w:t>三、发挥部门作用，加强统筹指导</w:t>
            </w:r>
            <w:r w:rsidRPr="005E58A5">
              <w:rPr>
                <w:rFonts w:ascii="黑体" w:eastAsia="黑体" w:hAnsi="黑体" w:cs="宋体" w:hint="eastAsia"/>
                <w:color w:val="333333"/>
                <w:kern w:val="0"/>
                <w:sz w:val="32"/>
                <w:szCs w:val="32"/>
              </w:rPr>
              <w:br/>
            </w:r>
            <w:r w:rsidRPr="005E58A5">
              <w:rPr>
                <w:rFonts w:ascii="仿宋_GB2312" w:eastAsia="仿宋_GB2312" w:hAnsi="宋体" w:cs="宋体" w:hint="eastAsia"/>
                <w:color w:val="333333"/>
                <w:kern w:val="0"/>
                <w:sz w:val="32"/>
                <w:szCs w:val="32"/>
              </w:rPr>
              <w:t xml:space="preserve">　　各部门、各单位应当进一步加大宣传培训力度，在官方网站开辟专栏，系统、集中登载中央和我省财政科研项目资金管理有关政策文件及解读，及时发布本部门、本单位制定的相关管理办法。加大对财务人员、科研财务助理、科研人员等相关人员的培训力度。同时，加强对省级财政科研项目</w:t>
            </w:r>
            <w:r w:rsidRPr="005E58A5">
              <w:rPr>
                <w:rFonts w:ascii="仿宋_GB2312" w:eastAsia="仿宋_GB2312" w:hAnsi="宋体" w:cs="宋体" w:hint="eastAsia"/>
                <w:color w:val="333333"/>
                <w:kern w:val="0"/>
                <w:sz w:val="32"/>
                <w:szCs w:val="32"/>
              </w:rPr>
              <w:lastRenderedPageBreak/>
              <w:t>资金的事中事后监管，严肃查处违法违纪问题。</w:t>
            </w:r>
            <w:r w:rsidRPr="005E58A5">
              <w:rPr>
                <w:rFonts w:ascii="仿宋_GB2312" w:eastAsia="仿宋_GB2312" w:hAnsi="宋体" w:cs="宋体" w:hint="eastAsia"/>
                <w:color w:val="333333"/>
                <w:kern w:val="0"/>
                <w:sz w:val="32"/>
                <w:szCs w:val="32"/>
              </w:rPr>
              <w:br/>
              <w:t xml:space="preserve">　　项目主管部门应当结合本部门实际情况，对共性问题统筹研究，提出解决方案或指导意见。加强对本部门所属高校、科研院所等单位落实《若干意见》的跟踪指导，及时总结典型做法，并予以推广。</w:t>
            </w:r>
            <w:r w:rsidRPr="005E58A5">
              <w:rPr>
                <w:rFonts w:ascii="仿宋_GB2312" w:eastAsia="仿宋_GB2312" w:hAnsi="宋体" w:cs="宋体" w:hint="eastAsia"/>
                <w:color w:val="333333"/>
                <w:kern w:val="0"/>
                <w:sz w:val="32"/>
                <w:szCs w:val="32"/>
              </w:rPr>
              <w:br/>
              <w:t xml:space="preserve">　　省财政厅、科技厅会同有关部门持续跟踪改革进展，建立省级财政科研项目资金管理改革等政策落实情况的督查机制、通报机制。有关通报和督查结果将纳入信用管理，与省属科研院所基本科研费、省属高校管理改革等绩效拨款、间接费用核定、结余资金留用、项目申报限额等挂钩。</w:t>
            </w:r>
          </w:p>
          <w:p w:rsidR="005E58A5" w:rsidRPr="005E58A5" w:rsidRDefault="005E58A5" w:rsidP="005E58A5">
            <w:pPr>
              <w:widowControl/>
              <w:spacing w:before="100" w:beforeAutospacing="1" w:after="100" w:afterAutospacing="1" w:line="480" w:lineRule="atLeast"/>
              <w:jc w:val="left"/>
              <w:rPr>
                <w:rFonts w:ascii="宋体" w:eastAsia="宋体" w:hAnsi="宋体" w:cs="宋体"/>
                <w:color w:val="333333"/>
                <w:kern w:val="0"/>
                <w:sz w:val="24"/>
                <w:szCs w:val="24"/>
              </w:rPr>
            </w:pPr>
            <w:r w:rsidRPr="005E58A5">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w:t>
            </w:r>
            <w:r w:rsidRPr="005E58A5">
              <w:rPr>
                <w:rFonts w:ascii="仿宋_GB2312" w:eastAsia="仿宋_GB2312" w:hAnsi="宋体" w:cs="宋体" w:hint="eastAsia"/>
                <w:color w:val="333333"/>
                <w:kern w:val="0"/>
                <w:sz w:val="24"/>
                <w:szCs w:val="24"/>
              </w:rPr>
              <w:t>   </w:t>
            </w:r>
            <w:r w:rsidRPr="005E58A5">
              <w:rPr>
                <w:rFonts w:ascii="仿宋_GB2312" w:eastAsia="仿宋_GB2312" w:hAnsi="宋体" w:cs="宋体" w:hint="eastAsia"/>
                <w:color w:val="333333"/>
                <w:kern w:val="0"/>
                <w:sz w:val="32"/>
                <w:szCs w:val="32"/>
              </w:rPr>
              <w:t>2017年5月15日</w:t>
            </w:r>
          </w:p>
        </w:tc>
      </w:tr>
    </w:tbl>
    <w:p w:rsidR="003E19E2" w:rsidRDefault="003E19E2"/>
    <w:sectPr w:rsidR="003E19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9E2" w:rsidRDefault="003E19E2" w:rsidP="005E58A5">
      <w:r>
        <w:separator/>
      </w:r>
    </w:p>
  </w:endnote>
  <w:endnote w:type="continuationSeparator" w:id="1">
    <w:p w:rsidR="003E19E2" w:rsidRDefault="003E19E2" w:rsidP="005E5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9E2" w:rsidRDefault="003E19E2" w:rsidP="005E58A5">
      <w:r>
        <w:separator/>
      </w:r>
    </w:p>
  </w:footnote>
  <w:footnote w:type="continuationSeparator" w:id="1">
    <w:p w:rsidR="003E19E2" w:rsidRDefault="003E19E2" w:rsidP="005E5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8A5"/>
    <w:rsid w:val="003E19E2"/>
    <w:rsid w:val="005E5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8A5"/>
    <w:rPr>
      <w:sz w:val="18"/>
      <w:szCs w:val="18"/>
    </w:rPr>
  </w:style>
  <w:style w:type="paragraph" w:styleId="a4">
    <w:name w:val="footer"/>
    <w:basedOn w:val="a"/>
    <w:link w:val="Char0"/>
    <w:uiPriority w:val="99"/>
    <w:semiHidden/>
    <w:unhideWhenUsed/>
    <w:rsid w:val="005E58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8A5"/>
    <w:rPr>
      <w:sz w:val="18"/>
      <w:szCs w:val="18"/>
    </w:rPr>
  </w:style>
  <w:style w:type="paragraph" w:styleId="a5">
    <w:name w:val="Normal (Web)"/>
    <w:basedOn w:val="a"/>
    <w:uiPriority w:val="99"/>
    <w:unhideWhenUsed/>
    <w:rsid w:val="005E58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9459272">
      <w:bodyDiv w:val="1"/>
      <w:marLeft w:val="0"/>
      <w:marRight w:val="0"/>
      <w:marTop w:val="0"/>
      <w:marBottom w:val="0"/>
      <w:divBdr>
        <w:top w:val="none" w:sz="0" w:space="0" w:color="auto"/>
        <w:left w:val="none" w:sz="0" w:space="0" w:color="auto"/>
        <w:bottom w:val="none" w:sz="0" w:space="0" w:color="auto"/>
        <w:right w:val="none" w:sz="0" w:space="0" w:color="auto"/>
      </w:divBdr>
      <w:divsChild>
        <w:div w:id="922493985">
          <w:marLeft w:val="0"/>
          <w:marRight w:val="0"/>
          <w:marTop w:val="0"/>
          <w:marBottom w:val="0"/>
          <w:divBdr>
            <w:top w:val="none" w:sz="0" w:space="0" w:color="auto"/>
            <w:left w:val="none" w:sz="0" w:space="0" w:color="auto"/>
            <w:bottom w:val="none" w:sz="0" w:space="0" w:color="auto"/>
            <w:right w:val="none" w:sz="0" w:space="0" w:color="auto"/>
          </w:divBdr>
          <w:divsChild>
            <w:div w:id="1867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MS</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2017-07-10T09:00:00Z</dcterms:created>
  <dcterms:modified xsi:type="dcterms:W3CDTF">2017-07-10T09:01:00Z</dcterms:modified>
</cp:coreProperties>
</file>